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26-152</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1023</w:t>
      </w:r>
    </w:p>
    <w:p>
      <w:pPr>
        <w:spacing w:before="0" w:after="0" w:line="480"/>
        <w:ind w:left="120"/>
        <w:jc w:val="center"/>
      </w:pPr>
      <w:r>
        <w:rPr>
          <w:rFonts w:ascii="Times New Roman" w:hAnsi="Times New Roman"/>
          <w:b w:val="false"/>
          <w:i w:val="false"/>
          <w:color w:val="000000"/>
          <w:sz w:val="24"/>
        </w:rPr>
        <w:t>“Certification of CPAs”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147, 154,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 542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Accountancy Examining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Jackson Boes</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515.242.6514</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jackson.boes@dia.iowa.gov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sets minimum standards for entry into the accounting profession. Iowa residents, licensees, and employers benefit from the rulemaking because it articulates the processes by which individuals apply for licensure as a certified public accountant (CPA) in the State of Iowa, as directed in statute. This includes the process for initial licensure. These requirements ensure public safety by ensuring that any individual entering the profession has minimum competency. Requirements include the application process, minimum educational qualifications, experience, and examination.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is no direct cost to the general public, but there is a cost to the applicant. Complying with the minimum requirements to enter into the profession is at the expense of the licensee. The fee for an initial CPA license is $100, and the renewal fee is $50 in the State of Iowa. </w:t>
      </w:r>
    </w:p>
    <w:p>
      <w:pPr>
        <w:spacing w:before="0" w:after="0" w:line="480"/>
        <w:ind w:left="120"/>
        <w:jc w:val="both"/>
      </w:pPr>
      <w:r>
        <w:rPr>
          <w:rFonts w:ascii="Times New Roman" w:hAnsi="Times New Roman"/>
          <w:b w:val="false"/>
          <w:i w:val="false"/>
          <w:color w:val="000000"/>
          <w:sz w:val="24"/>
        </w:rPr>
        <w:t xml:space="preserve">The licensee would also have costs related to educational requirements and examination requirements. The Board has not identified an exact cost of education for this field because it varies depending on the school the licensee chooses to attend to meet those requirements. </w:t>
      </w:r>
    </w:p>
    <w:p>
      <w:pPr>
        <w:spacing w:before="0" w:after="0" w:line="480"/>
        <w:ind w:left="120"/>
        <w:jc w:val="both"/>
      </w:pPr>
      <w:r>
        <w:rPr>
          <w:rFonts w:ascii="Times New Roman" w:hAnsi="Times New Roman"/>
          <w:b w:val="false"/>
          <w:i w:val="false"/>
          <w:color w:val="000000"/>
          <w:sz w:val="24"/>
        </w:rPr>
        <w:t>There are no new anticipated costs to this rulemaking other than the costs already incurred by the Board to enforce the rules. Board staff review applications for initial and renewal licenses, answer inquiries on licensing, and field phone calls. Staff salaries to support the work of the Board are covered by the Licensing and Regulation Fund established in 2023 Iowa Acts, Senate File 557.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and professionals will benefit from the proposed rulemaking. Establishing minimum licensing requirements ensures that practitioners are competent to practice. The benefit of additional pathways to licensure will outweigh any costs incurred by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 for CPA services provided. CPAs would be responsible for ensuring they meet the requirements for licensure.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Establishing minimum requirements for licensure ensures safety for the licensee and consumer. The cost of inaction would be an increase in the potential for injury to the public by a licensee who is not qualified to perform the work in the field.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licensing requirements. The Board does not anticipate any further costs than are already incurred. The time needed to manage this provision is generally in the form of responding to questions related to licensure requirements and processing applications. Staff salaries to support the work of the Board are covered by the fund.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Costs associated with implementing this rulemaking are paid by individual licensees, not the State. There is no anticipated impact on State revenues.</w:t>
      </w:r>
    </w:p>
    <w:p>
      <w:pPr>
        <w:spacing w:before="0" w:after="0" w:line="480"/>
        <w:ind w:left="120"/>
        <w:jc w:val="both"/>
      </w:pPr>
      <w:r>
        <w:rPr>
          <w:rFonts w:ascii="Times New Roman" w:hAnsi="Times New Roman"/>
          <w:b w:val="false"/>
          <w:i w:val="false"/>
          <w:color w:val="000000"/>
          <w:sz w:val="24"/>
        </w:rPr>
        <w:t>Staff salaries to support the work of the board are covered by the fund. Licensing fees go to the fund to cover the operations of the regulated professional licensing boards. The additional pathway to licensure means additional licensing fees coming into the fund that were not previously available.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developed rules to clarify the licensing requirements for certified public accountants. Inaction would result in confusion regarding the new pathways to licensure and would be a detriment to those seeking licensure.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does not believe there is a less costly or less intrusive method to achieve the purpose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 more cost-effective alternative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relates to public safety concerns that are present whether the business is a small business or a large corporation. While some CPAs may work in a smaller firm, some work for large corporations. To exempt any small business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1023.3(1)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1023.3(1)</w:t>
      </w:r>
      <w:r>
        <w:rPr>
          <w:rFonts w:ascii="Times New Roman" w:hAnsi="Times New Roman"/>
          <w:b w:val="false"/>
          <w:i w:val="false"/>
          <w:color w:val="000000"/>
          <w:sz w:val="24"/>
        </w:rPr>
        <w:t> </w:t>
      </w:r>
      <w:r>
        <w:rPr>
          <w:rFonts w:ascii="Times New Roman" w:hAnsi="Times New Roman"/>
          <w:b w:val="false"/>
          <w:i w:val="false"/>
          <w:color w:val="000000"/>
          <w:sz w:val="24"/>
        </w:rPr>
        <w:t xml:space="preserve">A candidate will be deemed to have met the educational requirement of Iowa Code section </w:t>
      </w:r>
      <w:hyperlink r:id="rId5">
        <w:r>
          <w:rPr>
            <w:rStyle w:val="Hyperlink"/>
            <w:rFonts w:ascii="Times New Roman" w:hAnsi="Times New Roman"/>
            <w:b w:val="false"/>
            <w:i w:val="false"/>
            <w:color w:val="000000"/>
            <w:sz w:val="24"/>
          </w:rPr>
          <w:t>542.5</w:t>
        </w:r>
      </w:hyperlink>
      <w:r>
        <w:rPr>
          <w:rFonts w:ascii="Times New Roman" w:hAnsi="Times New Roman"/>
          <w:b w:val="false"/>
          <w:i w:val="false"/>
          <w:color w:val="000000"/>
          <w:sz w:val="24"/>
        </w:rPr>
        <w:t xml:space="preserve"> if the candidate has met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Earned 150 hours total of college and graduate education, including a graduate degree with a concentration in accounting from a program that is accredited in accounting by an accrediting agency recognized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Earned 150 hours total of college and graduate education, including a baccalaureate or higher degree in accounting or business from a program that is accredited by an accrediting agency recognized by the board and completed at least 24 semester hours in accounting, including courses covering the subjects of financial accounting, auditing, taxation, and management accounting. Such accounting hours exclude elementary accounting or principles of accounting, internships or life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Earned 150 hours total of college and graduate education, including a baccalaureate or higher degree and completed the following hours from an accredited institution recognized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24 semester hours in accounting courses above elementary accounting or principles of accounting covering the subjects of financial accounting, auditing, taxation, and management accounting, not including internships or life experience;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24 additional semester hours in business-related courses, not including internships or life experience. Elementary accounting or principles of accounting hours that do not qualify under subparagraph </w:t>
      </w:r>
      <w:hyperlink r:id="rId6">
        <w:r>
          <w:rPr>
            <w:rStyle w:val="Hyperlink"/>
            <w:rFonts w:ascii="Times New Roman" w:hAnsi="Times New Roman"/>
            <w:b w:val="false"/>
            <w:i w:val="false"/>
            <w:color w:val="000000"/>
            <w:sz w:val="24"/>
          </w:rPr>
          <w:t>1023.3(1)</w:t>
        </w:r>
        <w:r>
          <w:rPr>
            <w:rFonts w:ascii="Times New Roman" w:hAnsi="Times New Roman"/>
            <w:b w:val="false"/>
            <w:i/>
            <w:color w:val="000000"/>
            <w:sz w:val="24"/>
          </w:rPr>
          <w:t>“c”</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may apply toward business-related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Earned 120 hours total of college education, including a baccalaureate degree in business or accounting from a program that is accredited by an accrediting agency recognized by the board and completed at least 24 semester hours in accounting courses covering the subjects of financial accounting, auditing, taxation, and management accounting. Such accounting hours exclude elementary accounting or principles of accounting, internships or life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Earned 120 hours total of college education, including a baccalaureate or higher degree and completed the following hours from an accredited institution recognized by the board: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24 semester hours in accounting courses above elementary accounting or principles of accounting covering the subjects of financial accounting, auditing, taxation, and management accounting, not including internships or life experience;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24 additional semester hours in business-related courses, not including internships or life experience. Elementary accounting or principles of accounting hours that do not qualify under subparagraph </w:t>
      </w:r>
      <w:hyperlink r:id="rId7">
        <w:r>
          <w:rPr>
            <w:rStyle w:val="Hyperlink"/>
            <w:rFonts w:ascii="Times New Roman" w:hAnsi="Times New Roman"/>
            <w:b w:val="false"/>
            <w:i w:val="false"/>
            <w:color w:val="000000"/>
            <w:sz w:val="24"/>
          </w:rPr>
          <w:t>3.3(1)</w:t>
        </w:r>
      </w:hyperlink>
      <w:r>
        <w:rPr>
          <w:rFonts w:ascii="Times New Roman" w:hAnsi="Times New Roman"/>
          <w:b w:val="false"/>
          <w:i/>
          <w:color w:val="000000"/>
          <w:sz w:val="24"/>
        </w:rPr>
        <w:t>“e”</w:t>
      </w:r>
      <w:r>
        <w:rPr>
          <w:rFonts w:ascii="Times New Roman" w:hAnsi="Times New Roman"/>
          <w:b w:val="false"/>
          <w:i w:val="false"/>
          <w:color w:val="000000"/>
          <w:sz w:val="24"/>
        </w:rPr>
        <w:t>(1) may apply toward business-related courses.</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Quarter hours will be accepted in lieu of semester hours at a 3:2 ratio; that is, three quarter hours are equivalent to two semester hours. Subject to the above provision, internships and life experience hours may apply toward the total required 120 or 150 hours.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1023.12(1)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1023.12(1)</w:t>
      </w:r>
      <w:r>
        <w:rPr>
          <w:rFonts w:ascii="Times New Roman" w:hAnsi="Times New Roman"/>
          <w:b w:val="false"/>
          <w:i w:val="false"/>
          <w:color w:val="000000"/>
          <w:sz w:val="24"/>
        </w:rPr>
        <w:t> </w:t>
      </w:r>
      <w:r>
        <w:rPr>
          <w:rFonts w:ascii="Times New Roman" w:hAnsi="Times New Roman"/>
          <w:b w:val="false"/>
          <w:i w:val="false"/>
          <w:color w:val="000000"/>
          <w:sz w:val="24"/>
        </w:rPr>
        <w:t>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seeking issuance of a certificate pursuant to paragraph </w:t>
      </w:r>
      <w:hyperlink r:id="rId8">
        <w:r>
          <w:rPr>
            <w:rStyle w:val="Hyperlink"/>
            <w:rFonts w:ascii="Times New Roman" w:hAnsi="Times New Roman"/>
            <w:b w:val="false"/>
            <w:i w:val="false"/>
            <w:color w:val="000000"/>
            <w:sz w:val="24"/>
          </w:rPr>
          <w:t>1023.3(1)</w:t>
        </w:r>
      </w:hyperlink>
      <w:r>
        <w:rPr>
          <w:rFonts w:ascii="Times New Roman" w:hAnsi="Times New Roman"/>
          <w:b w:val="false"/>
          <w:i/>
          <w:color w:val="000000"/>
          <w:sz w:val="24"/>
        </w:rPr>
        <w:t>“a,”</w:t>
      </w:r>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 or </w:t>
      </w:r>
      <w:r>
        <w:rPr>
          <w:rFonts w:ascii="Times New Roman" w:hAnsi="Times New Roman"/>
          <w:b w:val="false"/>
          <w:i/>
          <w:color w:val="000000"/>
          <w:sz w:val="24"/>
        </w:rPr>
        <w:t>“c”</w:t>
      </w:r>
      <w:r>
        <w:rPr>
          <w:rFonts w:ascii="Times New Roman" w:hAnsi="Times New Roman"/>
          <w:b w:val="false"/>
          <w:i w:val="false"/>
          <w:color w:val="000000"/>
          <w:sz w:val="24"/>
        </w:rPr>
        <w:t xml:space="preserve"> will have no less than one year of experience. One year of experience will consist of full- or part-time employment that extends over a period of no less than one year and no more than three years and includes no fewer than 2,000 hours of performance of services outlined in Iowa Code section </w:t>
      </w:r>
      <w:hyperlink r:id="rId9">
        <w:r>
          <w:rPr>
            <w:rStyle w:val="Hyperlink"/>
            <w:rFonts w:ascii="Times New Roman" w:hAnsi="Times New Roman"/>
            <w:b w:val="false"/>
            <w:i w:val="false"/>
            <w:color w:val="000000"/>
            <w:sz w:val="24"/>
          </w:rPr>
          <w:t>542.5(12)</w:t>
        </w:r>
      </w:hyperlink>
      <w:r>
        <w:rPr>
          <w:rFonts w:ascii="Times New Roman" w:hAnsi="Times New Roman"/>
          <w:b w:val="false"/>
          <w:i w:val="false"/>
          <w:color w:val="000000"/>
          <w:sz w:val="24"/>
        </w:rPr>
        <w:t>. Experience may be gained in more than one employment situation, including an internship.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seeking issuance of a certificate pursuant to paragraph </w:t>
      </w:r>
      <w:hyperlink r:id="rId10">
        <w:r>
          <w:rPr>
            <w:rStyle w:val="Hyperlink"/>
            <w:rFonts w:ascii="Times New Roman" w:hAnsi="Times New Roman"/>
            <w:b w:val="false"/>
            <w:i w:val="false"/>
            <w:color w:val="000000"/>
            <w:sz w:val="24"/>
          </w:rPr>
          <w:t>1023.3(1)</w:t>
        </w:r>
      </w:hyperlink>
      <w:r>
        <w:rPr>
          <w:rFonts w:ascii="Times New Roman" w:hAnsi="Times New Roman"/>
          <w:b w:val="false"/>
          <w:i/>
          <w:color w:val="000000"/>
          <w:sz w:val="24"/>
        </w:rPr>
        <w:t>“d”</w:t>
      </w:r>
      <w:r>
        <w:rPr>
          <w:rFonts w:ascii="Times New Roman" w:hAnsi="Times New Roman"/>
          <w:b w:val="false"/>
          <w:i w:val="false"/>
          <w:color w:val="000000"/>
          <w:sz w:val="24"/>
        </w:rPr>
        <w:t xml:space="preserve"> or </w:t>
      </w:r>
      <w:r>
        <w:rPr>
          <w:rFonts w:ascii="Times New Roman" w:hAnsi="Times New Roman"/>
          <w:b w:val="false"/>
          <w:i/>
          <w:color w:val="000000"/>
          <w:sz w:val="24"/>
        </w:rPr>
        <w:t>“e”</w:t>
      </w:r>
      <w:r>
        <w:rPr>
          <w:rFonts w:ascii="Times New Roman" w:hAnsi="Times New Roman"/>
          <w:b w:val="false"/>
          <w:i w:val="false"/>
          <w:color w:val="000000"/>
          <w:sz w:val="24"/>
        </w:rPr>
        <w:t xml:space="preserve"> will have no fewer than two years of experience. Two years of experience will consist of full- or part-time employment that extends over a period of no fewer than two years and no more than four years and includes no fewer than 4,000 hours of performance of services outlined in Iowa Code section </w:t>
      </w:r>
      <w:hyperlink r:id="rId11">
        <w:r>
          <w:rPr>
            <w:rStyle w:val="Hyperlink"/>
            <w:rFonts w:ascii="Times New Roman" w:hAnsi="Times New Roman"/>
            <w:b w:val="false"/>
            <w:i w:val="false"/>
            <w:color w:val="000000"/>
            <w:sz w:val="24"/>
          </w:rPr>
          <w:t>542.5(12)</w:t>
        </w:r>
      </w:hyperlink>
      <w:r>
        <w:rPr>
          <w:rFonts w:ascii="Times New Roman" w:hAnsi="Times New Roman"/>
          <w:b w:val="false"/>
          <w:i w:val="false"/>
          <w:color w:val="000000"/>
          <w:sz w:val="24"/>
        </w:rPr>
        <w:t>. Experience may be gained in more than one employment situation, including an internship.</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1023.12(3)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1023.12(3)</w:t>
      </w:r>
      <w:r>
        <w:rPr>
          <w:rFonts w:ascii="Times New Roman" w:hAnsi="Times New Roman"/>
          <w:b w:val="false"/>
          <w:i w:val="false"/>
          <w:color w:val="000000"/>
          <w:sz w:val="24"/>
        </w:rPr>
        <w:t> </w:t>
      </w:r>
      <w:r>
        <w:rPr>
          <w:rFonts w:ascii="Times New Roman" w:hAnsi="Times New Roman"/>
          <w:b w:val="false"/>
          <w:i w:val="false"/>
          <w:color w:val="000000"/>
          <w:sz w:val="24"/>
        </w:rPr>
        <w:t xml:space="preserve">All experience will be verified by a licensee with direct supervisory control over the applicant or by a licensee who can attest that the experience gained by the applicant meets the requirements of Iowa Code section </w:t>
      </w:r>
      <w:hyperlink r:id="rId12">
        <w:r>
          <w:rPr>
            <w:rStyle w:val="Hyperlink"/>
            <w:rFonts w:ascii="Times New Roman" w:hAnsi="Times New Roman"/>
            <w:b w:val="false"/>
            <w:i w:val="false"/>
            <w:strike/>
            <w:color w:val="000000"/>
            <w:sz w:val="24"/>
          </w:rPr>
          <w:t>542.5(12)</w:t>
        </w:r>
      </w:hyperlink>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542.5(7)</w:t>
        </w:r>
      </w:hyperlink>
      <w:r>
        <w:rPr>
          <w:rFonts w:ascii="Times New Roman" w:hAnsi="Times New Roman"/>
          <w:b w:val="false"/>
          <w:i w:val="false"/>
          <w:color w:val="000000"/>
          <w:sz w:val="24"/>
        </w:rPr>
        <w:t xml:space="preserve"> if the applicant is not supervised by a licensee.</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ackson.boes@dia.iowa.gov" Type="http://schemas.openxmlformats.org/officeDocument/2006/relationships/hyperlink" Id="rId4"/>
    <Relationship TargetMode="External" Target="https://www.legis.iowa.gov/docs/ico/chapter/542.5.pdf" Type="http://schemas.openxmlformats.org/officeDocument/2006/relationships/hyperlink" Id="rId5"/>
    <Relationship TargetMode="External" Target="https://www.legis.iowa.gov/docs/iac/rule/481.1023.3.pdf" Type="http://schemas.openxmlformats.org/officeDocument/2006/relationships/hyperlink" Id="rId6"/>
    <Relationship TargetMode="External" Target="https://www.legis.iowa.gov/docs/iac/rule/481.3.3.pdf" Type="http://schemas.openxmlformats.org/officeDocument/2006/relationships/hyperlink" Id="rId7"/>
    <Relationship TargetMode="External" Target="https://www.legis.iowa.gov/docs/iac/rule/481.1023.3.pdf" Type="http://schemas.openxmlformats.org/officeDocument/2006/relationships/hyperlink" Id="rId8"/>
    <Relationship TargetMode="External" Target="https://www.legis.iowa.gov/docs/ico/chapter/542.5.pdf" Type="http://schemas.openxmlformats.org/officeDocument/2006/relationships/hyperlink" Id="rId9"/>
    <Relationship TargetMode="External" Target="https://www.legis.iowa.gov/docs/iac/rule/481.1023.3.pdf" Type="http://schemas.openxmlformats.org/officeDocument/2006/relationships/hyperlink" Id="rId10"/>
    <Relationship TargetMode="External" Target="https://www.legis.iowa.gov/docs/ico/chapter/542.5.pdf" Type="http://schemas.openxmlformats.org/officeDocument/2006/relationships/hyperlink" Id="rId11"/>
    <Relationship TargetMode="External" Target="https://www.legis.iowa.gov/docs/ico/chapter/542.5.pdf" Type="http://schemas.openxmlformats.org/officeDocument/2006/relationships/hyperlink" Id="rId12"/>
    <Relationship TargetMode="External" Target="https://www.legis.iowa.gov/docs/ico/chapter/542.5.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